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eastAsia="Times New Roman" w:cs="Times New Roman"/>
          <w:bCs/>
        </w:rPr>
        <w:t xml:space="preserve">Приложение к письму</w:t>
      </w:r>
      <w:r>
        <w:rPr>
          <w:rFonts w:ascii="Times New Roman" w:hAnsi="Times New Roman" w:eastAsia="Times New Roman" w:cs="Times New Roman"/>
          <w:bCs/>
        </w:rPr>
      </w:r>
      <w:r>
        <w:rPr>
          <w:rFonts w:ascii="Times New Roman" w:hAnsi="Times New Roman" w:eastAsia="Times New Roman" w:cs="Times New Roman"/>
          <w:bCs/>
        </w:rPr>
      </w:r>
    </w:p>
    <w:p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eastAsia="Times New Roman" w:cs="Times New Roman"/>
          <w:bCs/>
        </w:rPr>
        <w:t xml:space="preserve">от__________№____________</w:t>
      </w:r>
      <w:r>
        <w:rPr>
          <w:rFonts w:ascii="Times New Roman" w:hAnsi="Times New Roman" w:eastAsia="Times New Roman" w:cs="Times New Roman"/>
          <w:bCs/>
        </w:rPr>
      </w:r>
      <w:r>
        <w:rPr>
          <w:rFonts w:ascii="Times New Roman" w:hAnsi="Times New Roman" w:eastAsia="Times New Roman" w:cs="Times New Roman"/>
          <w:bCs/>
        </w:rPr>
      </w:r>
    </w:p>
    <w:p>
      <w:pPr>
        <w:contextualSpacing/>
        <w:ind w:firstLine="708"/>
        <w:jc w:val="right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1 вариант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</w:p>
    <w:p>
      <w:pPr>
        <w:contextualSpacing/>
        <w:ind w:firstLine="708"/>
        <w:jc w:val="right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contextualSpacing/>
        <w:ind w:firstLine="708"/>
        <w:jc w:val="center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«Информация для граждан, желающих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заменить «срочную службу» альтернативной гражданской службой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»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b/>
          <w:bCs/>
        </w:rPr>
      </w:r>
    </w:p>
    <w:p>
      <w:pPr>
        <w:contextualSpacing/>
        <w:ind w:firstLine="708"/>
        <w:jc w:val="left"/>
        <w:spacing w:before="0" w:after="0" w:line="276" w:lineRule="auto"/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</w:p>
    <w:p>
      <w:pPr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b w:val="0"/>
          <w:bCs w:val="0"/>
          <w:i w:val="0"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highlight w:val="none"/>
        </w:rPr>
        <w:t xml:space="preserve">Молодые люди призывного возраста (от 18 до 30 лет), подлежащие призыву на военную службу, имеют право выбрать альтернативную гражданскую службу (АГС), то есть отработать около 2-х л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none"/>
        </w:rPr>
        <w:t xml:space="preserve">ет </w:t>
        <w:br/>
        <w:t xml:space="preserve">в государственной организации. </w:t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  <w:highlight w:val="none"/>
        </w:rPr>
      </w:r>
    </w:p>
    <w:p>
      <w:pPr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b w:val="0"/>
          <w:bCs w:val="0"/>
          <w:i w:val="0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  <w:highlight w:val="none"/>
        </w:rPr>
      </w:r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Право на АГС обеспечено Конституцией Российской Федерации (часть 3 статьи 59) и Федеральным законом «Об альтернативной гражданской службе».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/>
        <w:ind w:firstLine="0"/>
        <w:jc w:val="both"/>
        <w:spacing w:before="0" w:after="0" w:line="276" w:lineRule="auto"/>
        <w:rPr>
          <w:rFonts w:ascii="Times New Roman" w:hAnsi="Times New Roman" w:cs="Times New Roman"/>
          <w:b w:val="0"/>
          <w:bCs w:val="0"/>
          <w:i w:val="0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b w:val="0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  <w:highlight w:val="none"/>
        </w:rPr>
      </w:r>
    </w:p>
    <w:p>
      <w:pPr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Существуют 2 причины для замены «срочной службы» АГС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/>
        <w:ind w:left="0"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1. военная служба противоречит убеждениям или вероисповеданию человека.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contextualSpacing/>
        <w:ind w:left="0"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 призывник – представитель коренных малочисленных народов,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ведет традиционный образ жизни и осуществляет традиционную хозяйственную деятельность.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contextualSpacing/>
        <w:ind w:left="0" w:firstLine="708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contextualSpacing/>
        <w:ind w:left="0"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  <w:u w:val="none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Если призывника должны призвать в армию весной 2027 года, заявление нужно успеть подать </w:t>
      </w:r>
      <w:r>
        <w:rPr>
          <w:rFonts w:ascii="Times New Roman" w:hAnsi="Times New Roman" w:cs="Times New Roman"/>
          <w:sz w:val="28"/>
          <w:szCs w:val="28"/>
          <w:highlight w:val="none"/>
          <w:u w:val="single"/>
        </w:rPr>
        <w:t xml:space="preserve">до 1 октября 2026 года</w:t>
      </w:r>
      <w:r>
        <w:rPr>
          <w:rFonts w:ascii="Times New Roman" w:hAnsi="Times New Roman" w:cs="Times New Roman"/>
          <w:sz w:val="28"/>
          <w:szCs w:val="28"/>
          <w:highlight w:val="none"/>
          <w:u w:val="none"/>
        </w:rPr>
        <w:t xml:space="preserve"> в военкомат по месту постановки на военный учет,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если призыв осенью 2027 года – заявления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будут приниматься до 1 апреля 2027 года.</w:t>
      </w:r>
      <w:r>
        <w:rPr>
          <w:rFonts w:ascii="Times New Roman" w:hAnsi="Times New Roman" w:cs="Times New Roman"/>
          <w:sz w:val="24"/>
          <w:szCs w:val="24"/>
          <w:highlight w:val="none"/>
          <w:u w:val="none"/>
        </w:rPr>
      </w:r>
      <w:r>
        <w:rPr>
          <w:rFonts w:ascii="Times New Roman" w:hAnsi="Times New Roman" w:cs="Times New Roman"/>
          <w:sz w:val="24"/>
          <w:szCs w:val="24"/>
          <w:highlight w:val="none"/>
          <w:u w:val="none"/>
        </w:rPr>
      </w:r>
    </w:p>
    <w:p>
      <w:pPr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Порядок замены «срочной» службы на АГС: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contextualSpacing/>
        <w:ind w:left="0" w:right="0" w:firstLine="708"/>
        <w:jc w:val="both"/>
        <w:spacing w:before="0"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highlight w:val="none"/>
        </w:rPr>
        <w:t xml:space="preserve">1 шаг. Подача гражданином заявления в военкомат</w:t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r>
    </w:p>
    <w:p>
      <w:pPr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В заявлении необходимо указать причины для замены военной службы АГС с указанием причин и обстоятельств. К</w:t>
      </w:r>
      <w:r>
        <w:rPr>
          <w:rFonts w:ascii="Times New Roman" w:hAnsi="Times New Roman" w:cs="Times New Roman"/>
          <w:sz w:val="28"/>
          <w:szCs w:val="28"/>
        </w:rPr>
        <w:t xml:space="preserve"> заявлению необходимо приложить автобиографию и  характеристи</w:t>
      </w:r>
      <w:r>
        <w:rPr>
          <w:rFonts w:ascii="Times New Roman" w:hAnsi="Times New Roman" w:cs="Times New Roman"/>
          <w:sz w:val="28"/>
          <w:szCs w:val="28"/>
        </w:rPr>
        <w:t xml:space="preserve">ки с места учебы и(или) работы, а также любые документы, которые могут подтвердить достоверность сведений в заявлении о невозможности пройти военную службу.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contextualSpacing/>
        <w:ind w:left="0" w:right="0" w:firstLine="0"/>
        <w:jc w:val="both"/>
        <w:spacing w:line="240" w:lineRule="auto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szCs w:val="28"/>
          <w:highlight w:val="none"/>
        </w:rPr>
      </w:r>
    </w:p>
    <w:p>
      <w:pPr>
        <w:contextualSpacing/>
        <w:ind w:left="0" w:right="0" w:firstLine="708"/>
        <w:jc w:val="both"/>
        <w:spacing w:line="240" w:lineRule="auto"/>
        <w:rPr>
          <w:rFonts w:ascii="Times New Roman" w:hAnsi="Times New Roman" w:eastAsia="Times New Roman" w:cs="Times New Roman"/>
          <w:b/>
          <w:bCs w:val="0"/>
          <w:i/>
          <w:iCs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:sz w:val="28"/>
          <w:szCs w:val="28"/>
          <w:highlight w:val="none"/>
        </w:rPr>
        <w:t xml:space="preserve">2 шаг. Рассмотрение заявления на заседании призывной комиссии</w:t>
      </w:r>
      <w:r>
        <w:rPr>
          <w:rFonts w:ascii="Times New Roman" w:hAnsi="Times New Roman" w:eastAsia="Times New Roman" w:cs="Times New Roman"/>
          <w:b/>
          <w:bCs w:val="0"/>
          <w:i/>
          <w:i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 w:val="0"/>
          <w:i/>
          <w:iCs/>
          <w:color w:val="000000" w:themeColor="text1"/>
          <w:sz w:val="28"/>
          <w:szCs w:val="28"/>
          <w:highlight w:val="none"/>
        </w:rPr>
      </w:r>
    </w:p>
    <w:p>
      <w:pPr>
        <w:contextualSpacing/>
        <w:ind w:left="0" w:right="0" w:firstLine="708"/>
        <w:jc w:val="both"/>
        <w:spacing w:line="240" w:lineRule="auto"/>
        <w:rPr>
          <w:rFonts w:ascii="Times New Roman" w:hAnsi="Times New Roman" w:eastAsia="Times New Roman" w:cs="Times New Roman"/>
          <w:b w:val="0"/>
          <w:bCs w:val="0"/>
          <w:i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z w:val="28"/>
          <w:szCs w:val="28"/>
          <w:highlight w:val="none"/>
        </w:rPr>
        <w:t xml:space="preserve">Уведомление гражданина о проведении заседания комиссии -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военкомат направляет гражданину извещение о времени и месте проведения заседания комиссии</w:t>
      </w:r>
      <w:r>
        <w:rPr>
          <w:rFonts w:ascii="Times New Roman" w:hAnsi="Times New Roman" w:eastAsia="Times New Roman" w:cs="Times New Roman"/>
          <w:b w:val="0"/>
          <w:bCs w:val="0"/>
          <w:i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/>
          <w:color w:val="000000" w:themeColor="text1"/>
          <w:sz w:val="28"/>
          <w:szCs w:val="28"/>
          <w:highlight w:val="none"/>
        </w:rPr>
      </w:r>
    </w:p>
    <w:p>
      <w:pPr>
        <w:contextualSpacing/>
        <w:ind w:left="0" w:right="0" w:firstLine="708"/>
        <w:jc w:val="both"/>
        <w:spacing w:line="240" w:lineRule="auto"/>
        <w:rPr>
          <w:rFonts w:ascii="Times New Roman" w:hAnsi="Times New Roman" w:eastAsia="Times New Roman" w:cs="Times New Roman"/>
          <w:b w:val="0"/>
          <w:bCs w:val="0"/>
          <w:i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000000" w:themeColor="text1"/>
          <w:sz w:val="28"/>
          <w:szCs w:val="28"/>
          <w:highlight w:val="none"/>
        </w:rPr>
        <w:t xml:space="preserve">!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 Заявление рассматривается на комиссии только при личном присутствии гражданина</w:t>
      </w:r>
      <w:r>
        <w:rPr>
          <w:rFonts w:ascii="Times New Roman" w:hAnsi="Times New Roman" w:eastAsia="Times New Roman" w:cs="Times New Roman"/>
          <w:b w:val="0"/>
          <w:bCs w:val="0"/>
          <w:i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color w:val="000000" w:themeColor="text1"/>
          <w:sz w:val="28"/>
          <w:szCs w:val="28"/>
          <w:highlight w:val="none"/>
        </w:rPr>
      </w:r>
    </w:p>
    <w:p>
      <w:pPr>
        <w:contextualSpacing/>
        <w:ind w:left="0" w:right="0" w:firstLine="708"/>
        <w:jc w:val="both"/>
        <w:spacing w:line="240" w:lineRule="auto"/>
        <w:rPr>
          <w:rFonts w:ascii="Times New Roman" w:hAnsi="Times New Roman" w:cs="Times New Roman"/>
          <w:b w:val="0"/>
          <w:bCs w:val="0"/>
          <w:i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z w:val="28"/>
          <w:szCs w:val="28"/>
          <w:highlight w:val="none"/>
        </w:rPr>
        <w:t xml:space="preserve">Принятие решения призывной комиссией</w:t>
      </w:r>
      <w:r>
        <w:rPr>
          <w:rFonts w:ascii="Times New Roman" w:hAnsi="Times New Roman" w:cs="Times New Roman"/>
          <w:b w:val="0"/>
          <w:bCs w:val="0"/>
          <w:i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i/>
          <w:color w:val="000000" w:themeColor="text1"/>
          <w:sz w:val="28"/>
          <w:szCs w:val="28"/>
          <w:highlight w:val="none"/>
        </w:rPr>
      </w:r>
    </w:p>
    <w:p>
      <w:pPr>
        <w:contextualSpacing/>
        <w:ind w:left="0" w:right="0" w:firstLine="708"/>
        <w:jc w:val="both"/>
        <w:spacing w:line="240" w:lineRule="auto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Комиссия принимает одно из двух решений: заменить военную службу по призыву на АГС или отказать</w:t>
      </w:r>
      <w:r>
        <w:rPr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szCs w:val="28"/>
          <w:highlight w:val="none"/>
        </w:rPr>
      </w:r>
    </w:p>
    <w:p>
      <w:pPr>
        <w:contextualSpacing/>
        <w:ind w:left="0" w:right="0" w:firstLine="708"/>
        <w:jc w:val="both"/>
        <w:spacing w:line="240" w:lineRule="auto"/>
        <w:rPr>
          <w:rFonts w:ascii="Times New Roman" w:hAnsi="Times New Roman" w:eastAsia="Times New Roman" w:cs="Times New Roman"/>
          <w:b w:val="0"/>
          <w:bCs w:val="0"/>
          <w:i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z w:val="28"/>
          <w:szCs w:val="28"/>
          <w:highlight w:val="none"/>
        </w:rPr>
        <w:t xml:space="preserve">Основания отказа в замене военной службы АГС</w:t>
      </w:r>
      <w:r>
        <w:rPr>
          <w:rFonts w:ascii="Times New Roman" w:hAnsi="Times New Roman" w:eastAsia="Times New Roman" w:cs="Times New Roman"/>
          <w:b w:val="0"/>
          <w:bCs w:val="0"/>
          <w:i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/>
          <w:color w:val="000000" w:themeColor="text1"/>
          <w:sz w:val="28"/>
          <w:szCs w:val="28"/>
          <w:highlight w:val="none"/>
        </w:rPr>
      </w:r>
    </w:p>
    <w:p>
      <w:pPr>
        <w:contextualSpacing/>
        <w:ind w:left="0" w:right="0" w:firstLine="708"/>
        <w:jc w:val="both"/>
        <w:spacing w:line="240" w:lineRule="auto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нарушение сроков подачи заявления</w:t>
      </w:r>
      <w:r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highlight w:val="none"/>
        </w:rPr>
      </w:r>
    </w:p>
    <w:p>
      <w:pPr>
        <w:contextualSpacing/>
        <w:ind w:left="0" w:right="0" w:firstLine="708"/>
        <w:jc w:val="both"/>
        <w:spacing w:line="240" w:lineRule="auto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представление документов, которые противоречат доводам гражданина о замене военной службы</w:t>
      </w:r>
      <w:r>
        <w:rPr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szCs w:val="28"/>
          <w:highlight w:val="none"/>
        </w:rPr>
      </w:r>
    </w:p>
    <w:p>
      <w:pPr>
        <w:contextualSpacing/>
        <w:ind w:left="0" w:right="0" w:firstLine="708"/>
        <w:jc w:val="both"/>
        <w:spacing w:line="240" w:lineRule="auto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представление заведомо ложных сведений</w:t>
      </w:r>
      <w:r>
        <w:rPr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szCs w:val="28"/>
          <w:highlight w:val="none"/>
        </w:rPr>
      </w:r>
    </w:p>
    <w:p>
      <w:pPr>
        <w:contextualSpacing/>
        <w:ind w:left="0" w:right="0" w:firstLine="708"/>
        <w:jc w:val="both"/>
        <w:spacing w:line="240" w:lineRule="auto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в случае повторной неявки на заседание комиссии без уважительных причин или уклонения от ранее предоставленной возможности пройти АГС</w:t>
      </w:r>
      <w:r>
        <w:rPr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szCs w:val="28"/>
          <w:highlight w:val="none"/>
        </w:rPr>
      </w:r>
    </w:p>
    <w:p>
      <w:pPr>
        <w:contextualSpacing/>
        <w:ind w:left="0" w:right="0" w:firstLine="0"/>
        <w:jc w:val="both"/>
        <w:spacing w:line="240" w:lineRule="auto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szCs w:val="28"/>
          <w:highlight w:val="none"/>
        </w:rPr>
      </w:r>
    </w:p>
    <w:p>
      <w:pPr>
        <w:contextualSpacing/>
        <w:ind w:left="0" w:right="0" w:firstLine="708"/>
        <w:jc w:val="both"/>
        <w:spacing w:line="240" w:lineRule="auto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000000" w:themeColor="text1"/>
          <w:sz w:val="28"/>
          <w:szCs w:val="28"/>
          <w:highlight w:val="none"/>
        </w:rPr>
        <w:t xml:space="preserve">В случае несогласия с решением призывной комиссии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об отказе </w:t>
        <w:br/>
        <w:t xml:space="preserve">в замене военной службы АГС г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ражданин вправе его оспорить в суде.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Исковое заявление подается в суд в течение 3-х месяцев со дня, когда гражданину стало известно о нарушении его прав, свобод и законных интересов.</w:t>
      </w:r>
      <w:r>
        <w:rPr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szCs w:val="28"/>
          <w:highlight w:val="none"/>
        </w:rPr>
      </w:r>
    </w:p>
    <w:p>
      <w:pPr>
        <w:contextualSpacing/>
        <w:ind w:left="0" w:right="0" w:firstLine="0"/>
        <w:jc w:val="both"/>
        <w:spacing w:line="240" w:lineRule="auto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szCs w:val="28"/>
          <w:highlight w:val="none"/>
        </w:rPr>
      </w:r>
    </w:p>
    <w:p>
      <w:pPr>
        <w:contextualSpacing/>
        <w:ind w:left="0" w:right="0" w:firstLine="708"/>
        <w:jc w:val="both"/>
        <w:spacing w:line="240" w:lineRule="auto"/>
        <w:rPr>
          <w:rFonts w:ascii="Times New Roman" w:hAnsi="Times New Roman" w:cs="Times New Roman"/>
          <w:b/>
          <w:bCs w:val="0"/>
          <w:i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000000" w:themeColor="text1"/>
          <w:sz w:val="28"/>
          <w:szCs w:val="28"/>
          <w:highlight w:val="none"/>
        </w:rPr>
        <w:t xml:space="preserve">Ответственность за уклонение от прохождения АГС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 лиц, освобожденных от военной службы, предусмотрена частью второй </w:t>
        <w:br/>
        <w:t xml:space="preserve">статьи 328 Уголовного кодекса РФ.</w:t>
      </w:r>
      <w:r>
        <w:rPr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highlight w:val="none"/>
        </w:rPr>
      </w:r>
    </w:p>
    <w:p>
      <w:pPr>
        <w:contextualSpacing/>
        <w:ind w:left="0" w:right="0" w:firstLine="708"/>
        <w:jc w:val="both"/>
        <w:spacing w:line="240" w:lineRule="auto"/>
        <w:rPr>
          <w:rFonts w:ascii="Times New Roman" w:hAnsi="Times New Roman" w:cs="Times New Roman"/>
          <w:b/>
          <w:bCs w:val="0"/>
          <w:i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bCs w:val="0"/>
          <w:i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 w:val="0"/>
          <w:i w:val="0"/>
          <w:color w:val="000000" w:themeColor="text1"/>
          <w:sz w:val="28"/>
          <w:szCs w:val="28"/>
          <w:highlight w:val="none"/>
        </w:rPr>
      </w:r>
    </w:p>
    <w:p>
      <w:pPr>
        <w:contextualSpacing/>
        <w:ind w:left="0" w:right="0" w:firstLine="708"/>
        <w:jc w:val="both"/>
        <w:spacing w:line="240" w:lineRule="auto"/>
        <w:rPr>
          <w:rFonts w:ascii="Times New Roman" w:hAnsi="Times New Roman" w:cs="Times New Roman"/>
          <w:b/>
          <w:bCs w:val="0"/>
          <w:i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 w:val="0"/>
          <w:i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 w:val="0"/>
          <w:i w:val="0"/>
          <w:color w:val="000000" w:themeColor="text1"/>
          <w:sz w:val="28"/>
          <w:szCs w:val="28"/>
          <w:highlight w:val="none"/>
        </w:rPr>
      </w:r>
    </w:p>
    <w:p>
      <w:pPr>
        <w:jc w:val="righ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2 вариант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jc w:val="center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«Поступление на АГС»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Граждане, имеющие право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замену военной службы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 призыву </w:t>
        <w:br/>
        <w:t xml:space="preserve">на альтернативную гражданскую службу (АГС):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tbl>
      <w:tblPr>
        <w:tblStyle w:val="49"/>
        <w:tblW w:w="0" w:type="auto"/>
        <w:tblLook w:val="04A0" w:firstRow="1" w:lastRow="0" w:firstColumn="1" w:lastColumn="0" w:noHBand="0" w:noVBand="1"/>
      </w:tblPr>
      <w:tblGrid>
        <w:gridCol w:w="4856"/>
        <w:gridCol w:w="4856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любой гражданин, для которого прохождение военной службы противоречит убеждениям или вероисповеданию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призывник – представитель коренных малочисленных народов, который ведет традиционный образ жизни и осуществляет традиционную хозяйственную деятельность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</w:tbl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Процедура поступления на АГС: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left="0" w:firstLine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ab/>
        <w:t xml:space="preserve">1.</w:t>
        <w:tab/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Подача гражданином 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none"/>
        </w:rPr>
        <w:t xml:space="preserve">(с указанием причин и обстоятельств)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 военный комиссариат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/>
        <w:ind w:left="0" w:right="0" w:firstLine="708"/>
        <w:jc w:val="both"/>
        <w:spacing w:line="240" w:lineRule="auto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z w:val="28"/>
          <w:szCs w:val="28"/>
          <w:highlight w:val="none"/>
        </w:rPr>
        <w:t xml:space="preserve">Документы, которые необходимо приложить к заявлению: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автобиография,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характеристики с места учебы и (или) работы,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иные документы, которые смогут подтвердить достоверность сведений в заявлении о невозможности пройти военную службу</w:t>
      </w:r>
      <w:r>
        <w:rPr>
          <w:rFonts w:ascii="Times New Roman" w:hAnsi="Times New Roman" w:eastAsia="Times New Roman" w:cs="Times New Roman"/>
          <w:b w:val="0"/>
          <w:bCs w:val="0"/>
          <w:i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color w:val="000000" w:themeColor="text1"/>
          <w:sz w:val="28"/>
          <w:szCs w:val="28"/>
          <w:highlight w:val="none"/>
        </w:rPr>
      </w:r>
    </w:p>
    <w:p>
      <w:pPr>
        <w:contextualSpacing/>
        <w:ind w:left="0" w:right="0" w:firstLine="708"/>
        <w:jc w:val="both"/>
        <w:spacing w:line="240" w:lineRule="auto"/>
        <w:rPr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i w:val="0"/>
          <w:color w:val="000000" w:themeColor="text1"/>
          <w:sz w:val="28"/>
          <w:szCs w:val="28"/>
          <w:highlight w:val="none"/>
        </w:rPr>
        <w:t xml:space="preserve">2.</w:t>
        <w:tab/>
        <w:t xml:space="preserve">Рассмотрение заявления на заседании призывной комиссии</w:t>
      </w:r>
      <w:r>
        <w:rPr>
          <w:rFonts w:ascii="Times New Roman" w:hAnsi="Times New Roman" w:eastAsia="Times New Roman" w:cs="Times New Roman"/>
          <w:b/>
          <w:bCs/>
          <w:i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i w:val="0"/>
          <w:color w:val="000000" w:themeColor="text1"/>
          <w:sz w:val="28"/>
          <w:szCs w:val="28"/>
          <w:highlight w:val="none"/>
        </w:rPr>
      </w:r>
    </w:p>
    <w:p>
      <w:pPr>
        <w:contextualSpacing/>
        <w:ind w:left="0" w:right="0" w:firstLine="708"/>
        <w:jc w:val="both"/>
        <w:spacing w:line="240" w:lineRule="auto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color w:val="000000" w:themeColor="text1"/>
          <w:sz w:val="28"/>
          <w:szCs w:val="28"/>
          <w:highlight w:val="none"/>
        </w:rPr>
        <w:t xml:space="preserve">Заявление рассматривается на заседании в присутствии гражданина</w:t>
      </w:r>
      <w:r>
        <w:rPr>
          <w:rFonts w:ascii="Times New Roman" w:hAnsi="Times New Roman" w:eastAsia="Times New Roman" w:cs="Times New Roman"/>
          <w:b w:val="0"/>
          <w:bCs w:val="0"/>
          <w:i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color w:val="000000" w:themeColor="text1"/>
          <w:sz w:val="28"/>
          <w:szCs w:val="28"/>
          <w:highlight w:val="none"/>
        </w:rPr>
      </w:r>
    </w:p>
    <w:p>
      <w:pPr>
        <w:contextualSpacing/>
        <w:ind w:left="0" w:right="0" w:firstLine="708"/>
        <w:jc w:val="both"/>
        <w:spacing w:line="240" w:lineRule="auto"/>
        <w:rPr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i w:val="0"/>
          <w:color w:val="000000" w:themeColor="text1"/>
          <w:sz w:val="28"/>
          <w:szCs w:val="28"/>
          <w:highlight w:val="none"/>
        </w:rPr>
        <w:t xml:space="preserve">3.</w:t>
        <w:tab/>
        <w:t xml:space="preserve">Заключение (решение) призывной комиссии</w:t>
      </w:r>
      <w:r>
        <w:rPr>
          <w:rFonts w:ascii="Times New Roman" w:hAnsi="Times New Roman" w:eastAsia="Times New Roman" w:cs="Times New Roman"/>
          <w:b/>
          <w:bCs/>
          <w:i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i w:val="0"/>
          <w:color w:val="000000" w:themeColor="text1"/>
          <w:sz w:val="28"/>
          <w:szCs w:val="28"/>
          <w:highlight w:val="none"/>
        </w:rPr>
      </w:r>
    </w:p>
    <w:p>
      <w:pPr>
        <w:contextualSpacing/>
        <w:ind w:left="0" w:right="0" w:firstLine="708"/>
        <w:jc w:val="both"/>
        <w:spacing w:line="240" w:lineRule="auto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color w:val="000000" w:themeColor="text1"/>
          <w:sz w:val="28"/>
          <w:szCs w:val="28"/>
          <w:highlight w:val="none"/>
        </w:rPr>
        <w:t xml:space="preserve">Выдача гражданину документа о замене военной службы на АГС либо отказ в замене военной службы на АГС (в данном случае гражданин будет призван на военную службу по призыву)</w:t>
      </w:r>
      <w:r>
        <w:rPr>
          <w:rFonts w:ascii="Times New Roman" w:hAnsi="Times New Roman" w:eastAsia="Times New Roman" w:cs="Times New Roman"/>
          <w:b/>
          <w:bCs/>
          <w:i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i/>
          <w:color w:val="000000" w:themeColor="text1"/>
          <w:sz w:val="28"/>
          <w:szCs w:val="28"/>
          <w:highlight w:val="none"/>
        </w:rPr>
      </w:r>
    </w:p>
    <w:p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Заявление можно подать в военный комиссариат: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 1 октября 2026 года – если призыв на военную службу в апреле-июле 2027 года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 1 апреля 2027 года – если призыв на военную службу в октябре-декабре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2027 года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contextualSpacing/>
        <w:ind w:left="0" w:right="0" w:firstLine="708"/>
        <w:jc w:val="both"/>
        <w:spacing w:line="240" w:lineRule="auto"/>
        <w:rPr>
          <w:rFonts w:ascii="Times New Roman" w:hAnsi="Times New Roman" w:cs="Times New Roman"/>
          <w:b/>
          <w:bCs w:val="0"/>
          <w:i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highlight w:val="none"/>
        </w:rPr>
      </w:r>
    </w:p>
    <w:p>
      <w:pPr>
        <w:contextualSpacing/>
        <w:ind w:left="0" w:firstLine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  <w:suppressLineNumbers w:val="0"/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left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basedOn w:val="618"/>
    <w:uiPriority w:val="1"/>
    <w:qFormat/>
    <w:pPr>
      <w:spacing w:after="0" w:line="240" w:lineRule="auto"/>
    </w:pPr>
  </w:style>
  <w:style w:type="paragraph" w:styleId="622">
    <w:name w:val="List Paragraph"/>
    <w:basedOn w:val="618"/>
    <w:uiPriority w:val="34"/>
    <w:qFormat/>
    <w:pPr>
      <w:contextualSpacing/>
      <w:ind w:left="720"/>
    </w:pPr>
  </w:style>
  <w:style w:type="character" w:styleId="62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SartakovaOV</cp:lastModifiedBy>
  <cp:revision>1</cp:revision>
  <dcterms:modified xsi:type="dcterms:W3CDTF">2026-07-07T04:42:06Z</dcterms:modified>
</cp:coreProperties>
</file>